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BD" w:rsidRDefault="007913BD" w:rsidP="007913BD">
      <w:pPr>
        <w:tabs>
          <w:tab w:val="left" w:pos="7513"/>
          <w:tab w:val="left" w:pos="7655"/>
          <w:tab w:val="left" w:pos="7938"/>
        </w:tabs>
        <w:spacing w:line="62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7913BD" w:rsidRPr="00316845" w:rsidRDefault="007913BD" w:rsidP="007913BD">
      <w:pPr>
        <w:tabs>
          <w:tab w:val="left" w:pos="7513"/>
          <w:tab w:val="left" w:pos="7655"/>
          <w:tab w:val="left" w:pos="7938"/>
        </w:tabs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成都市</w:t>
      </w:r>
      <w:r w:rsidRPr="00316845">
        <w:rPr>
          <w:rFonts w:ascii="Times New Roman" w:eastAsia="方正小标宋简体" w:hAnsi="Times New Roman"/>
          <w:sz w:val="44"/>
          <w:szCs w:val="44"/>
        </w:rPr>
        <w:t>重点产业链清单目录</w:t>
      </w:r>
    </w:p>
    <w:p w:rsidR="007913BD" w:rsidRPr="00316845" w:rsidRDefault="007913BD" w:rsidP="007913BD">
      <w:pPr>
        <w:pStyle w:val="footer1"/>
      </w:pPr>
    </w:p>
    <w:tbl>
      <w:tblPr>
        <w:tblStyle w:val="a5"/>
        <w:tblW w:w="9061" w:type="dxa"/>
        <w:tblLook w:val="04A0"/>
      </w:tblPr>
      <w:tblGrid>
        <w:gridCol w:w="2366"/>
        <w:gridCol w:w="6695"/>
      </w:tblGrid>
      <w:tr w:rsidR="007913BD" w:rsidRPr="00316845" w:rsidTr="00926778">
        <w:trPr>
          <w:trHeight w:val="624"/>
        </w:trPr>
        <w:tc>
          <w:tcPr>
            <w:tcW w:w="2366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16845">
              <w:rPr>
                <w:rFonts w:ascii="Times New Roman" w:eastAsia="黑体" w:hAnsi="黑体"/>
                <w:bCs/>
                <w:sz w:val="28"/>
                <w:szCs w:val="28"/>
              </w:rPr>
              <w:t>产业生态圈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16845">
              <w:rPr>
                <w:rFonts w:ascii="Times New Roman" w:eastAsia="黑体" w:hAnsi="黑体"/>
                <w:bCs/>
                <w:sz w:val="28"/>
                <w:szCs w:val="28"/>
              </w:rPr>
              <w:t>重点产业链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 w:val="restart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．电子信息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）集成电路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）新型显示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）智能终端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 w:val="restart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．数字经济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）高端软件与操作系统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）大数据与人工智能（含车载智能控制系统）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）工业互联网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）卫星互联网与卫星应用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）金融科技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 w:val="restart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．航空航天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）航空发动机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）工业无人机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11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）大飞机制造与服务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 w:val="restart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．现代交通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）汽车（新能源汽车）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13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）轨道交通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14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）现代物流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 w:val="restart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．绿色低碳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15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）生态环保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16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）新能源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17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）新材料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 w:val="restart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6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．大健康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18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）创新药（含中医药）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19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）高端医疗器械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20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）高端诊疗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 w:val="restart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．新消费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21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）旅游业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22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）文创业（含数字文创）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23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）会展业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24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）体育产业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25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）音乐产业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26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）美食产业（含绿色食品）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 w:val="restart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．现代农业</w:t>
            </w: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27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）现代种业</w:t>
            </w:r>
          </w:p>
        </w:tc>
      </w:tr>
      <w:tr w:rsidR="007913BD" w:rsidRPr="00316845" w:rsidTr="00926778">
        <w:trPr>
          <w:trHeight w:val="624"/>
        </w:trPr>
        <w:tc>
          <w:tcPr>
            <w:tcW w:w="2366" w:type="dxa"/>
            <w:vMerge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695" w:type="dxa"/>
            <w:vAlign w:val="center"/>
          </w:tcPr>
          <w:p w:rsidR="007913BD" w:rsidRPr="00316845" w:rsidRDefault="007913BD" w:rsidP="00926778">
            <w:pPr>
              <w:tabs>
                <w:tab w:val="left" w:pos="7513"/>
                <w:tab w:val="left" w:pos="7655"/>
                <w:tab w:val="left" w:pos="7938"/>
              </w:tabs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28</w:t>
            </w:r>
            <w:r w:rsidRPr="00316845">
              <w:rPr>
                <w:rFonts w:ascii="Times New Roman" w:eastAsia="仿宋_GB2312" w:hAnsi="Times New Roman"/>
                <w:sz w:val="32"/>
                <w:szCs w:val="32"/>
              </w:rPr>
              <w:t>）都市农业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60" w:rsidRDefault="00202660" w:rsidP="007913BD">
      <w:pPr>
        <w:spacing w:after="0"/>
      </w:pPr>
      <w:r>
        <w:separator/>
      </w:r>
    </w:p>
  </w:endnote>
  <w:endnote w:type="continuationSeparator" w:id="0">
    <w:p w:rsidR="00202660" w:rsidRDefault="00202660" w:rsidP="007913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60" w:rsidRDefault="00202660" w:rsidP="007913BD">
      <w:pPr>
        <w:spacing w:after="0"/>
      </w:pPr>
      <w:r>
        <w:separator/>
      </w:r>
    </w:p>
  </w:footnote>
  <w:footnote w:type="continuationSeparator" w:id="0">
    <w:p w:rsidR="00202660" w:rsidRDefault="00202660" w:rsidP="007913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2660"/>
    <w:rsid w:val="00323B43"/>
    <w:rsid w:val="003D37D8"/>
    <w:rsid w:val="00426133"/>
    <w:rsid w:val="004358AB"/>
    <w:rsid w:val="0064048D"/>
    <w:rsid w:val="007913B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3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3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3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3BD"/>
    <w:rPr>
      <w:rFonts w:ascii="Tahoma" w:hAnsi="Tahoma"/>
      <w:sz w:val="18"/>
      <w:szCs w:val="18"/>
    </w:rPr>
  </w:style>
  <w:style w:type="paragraph" w:customStyle="1" w:styleId="footer1">
    <w:name w:val="footer1"/>
    <w:basedOn w:val="a"/>
    <w:qFormat/>
    <w:rsid w:val="007913BD"/>
    <w:pPr>
      <w:tabs>
        <w:tab w:val="center" w:pos="4153"/>
        <w:tab w:val="right" w:pos="8306"/>
      </w:tabs>
      <w:adjustRightInd/>
      <w:spacing w:after="0" w:line="560" w:lineRule="exact"/>
      <w:jc w:val="both"/>
    </w:pPr>
    <w:rPr>
      <w:rFonts w:ascii="Times New Roman" w:eastAsia="仿宋_GB2312" w:hAnsi="Times New Roman" w:cs="Times New Roman"/>
      <w:kern w:val="2"/>
      <w:sz w:val="21"/>
      <w:szCs w:val="32"/>
    </w:rPr>
  </w:style>
  <w:style w:type="table" w:styleId="a5">
    <w:name w:val="Table Grid"/>
    <w:basedOn w:val="a1"/>
    <w:uiPriority w:val="59"/>
    <w:qFormat/>
    <w:rsid w:val="007913B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2024-01-15T02:14:00Z</dcterms:modified>
</cp:coreProperties>
</file>