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28" w:lineRule="exact"/>
        <w:ind w:left="112" w:firstLine="0"/>
        <w:rPr>
          <w:position w:val="-1"/>
          <w:sz w:val="2"/>
          <w:szCs w:val="2"/>
        </w:rPr>
      </w:pPr>
    </w:p>
    <w:p>
      <w:pPr>
        <w:pStyle w:val="2"/>
        <w:kinsoku w:val="0"/>
        <w:overflowPunct w:val="0"/>
        <w:spacing w:before="2"/>
        <w:ind w:left="0"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2" w:line="600" w:lineRule="exact"/>
        <w:ind w:left="0" w:firstLine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C1C1C"/>
          <w:spacing w:val="0"/>
          <w:w w:val="10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11"/>
          <w:sz w:val="44"/>
          <w:szCs w:val="44"/>
        </w:rPr>
        <w:t>关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13"/>
          <w:sz w:val="44"/>
          <w:szCs w:val="44"/>
        </w:rPr>
        <w:t>于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07"/>
          <w:sz w:val="44"/>
          <w:szCs w:val="44"/>
        </w:rPr>
        <w:t>优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08"/>
          <w:sz w:val="44"/>
          <w:szCs w:val="44"/>
        </w:rPr>
        <w:t>化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06"/>
          <w:sz w:val="44"/>
          <w:szCs w:val="44"/>
        </w:rPr>
        <w:t>完善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08"/>
          <w:sz w:val="44"/>
          <w:szCs w:val="44"/>
        </w:rPr>
        <w:t>来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08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06"/>
          <w:sz w:val="44"/>
          <w:szCs w:val="44"/>
        </w:rPr>
        <w:t>返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08"/>
          <w:sz w:val="44"/>
          <w:szCs w:val="44"/>
          <w:lang w:eastAsia="zh-CN"/>
        </w:rPr>
        <w:t>）川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01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11"/>
          <w:sz w:val="44"/>
          <w:szCs w:val="44"/>
        </w:rPr>
        <w:t>员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08"/>
          <w:sz w:val="44"/>
          <w:szCs w:val="44"/>
        </w:rPr>
        <w:t>排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09"/>
          <w:sz w:val="44"/>
          <w:szCs w:val="44"/>
        </w:rPr>
        <w:t>查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08"/>
          <w:sz w:val="44"/>
          <w:szCs w:val="44"/>
        </w:rPr>
        <w:t>管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12"/>
          <w:sz w:val="44"/>
          <w:szCs w:val="44"/>
        </w:rPr>
        <w:t>理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05"/>
          <w:sz w:val="44"/>
          <w:szCs w:val="44"/>
        </w:rPr>
        <w:t>政策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15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07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color w:val="1C1C1C"/>
          <w:spacing w:val="0"/>
          <w:w w:val="115"/>
          <w:sz w:val="44"/>
          <w:szCs w:val="44"/>
        </w:rPr>
        <w:t>知</w:t>
      </w:r>
    </w:p>
    <w:p>
      <w:pPr>
        <w:pStyle w:val="2"/>
        <w:kinsoku w:val="0"/>
        <w:overflowPunct w:val="0"/>
        <w:spacing w:before="4"/>
        <w:ind w:left="0" w:firstLine="0"/>
        <w:rPr>
          <w:sz w:val="32"/>
          <w:szCs w:val="32"/>
        </w:rPr>
      </w:pPr>
    </w:p>
    <w:p>
      <w:pPr>
        <w:pStyle w:val="2"/>
        <w:kinsoku w:val="0"/>
        <w:overflowPunct w:val="0"/>
        <w:spacing w:line="580" w:lineRule="exact"/>
        <w:ind w:left="136" w:right="112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1C1C1C"/>
          <w:sz w:val="32"/>
          <w:szCs w:val="32"/>
        </w:rPr>
        <w:t>按照国务院联防联控机制最新要求，为进一步统筹做好春运期间疫情防控和科学指导群众返乡工作，确保广大群众有一个祥和的春节，结合当前疫情形势，对《四川省新冠肺炎疫情防控工作指南（第五版）》来（返）</w:t>
      </w:r>
      <w:r>
        <w:rPr>
          <w:rFonts w:hint="eastAsia" w:ascii="仿宋_GB2312" w:eastAsia="仿宋_GB2312"/>
          <w:color w:val="1C1C1C"/>
          <w:sz w:val="32"/>
          <w:szCs w:val="32"/>
          <w:lang w:val="en-US" w:eastAsia="zh-CN"/>
        </w:rPr>
        <w:t>川</w:t>
      </w:r>
      <w:r>
        <w:rPr>
          <w:rFonts w:hint="eastAsia" w:ascii="仿宋_GB2312" w:eastAsia="仿宋_GB2312"/>
          <w:color w:val="1C1C1C"/>
          <w:sz w:val="32"/>
          <w:szCs w:val="32"/>
        </w:rPr>
        <w:t>人员排查管理政策进行了优化完善，经省应对新型冠状病毒肺炎疫情应急指挥部同意，现就有关要求通知如下：</w:t>
      </w:r>
    </w:p>
    <w:p>
      <w:pPr>
        <w:pStyle w:val="2"/>
        <w:kinsoku w:val="0"/>
        <w:overflowPunct w:val="0"/>
        <w:spacing w:line="580" w:lineRule="exact"/>
        <w:ind w:left="131" w:right="24" w:rightChars="0" w:firstLine="655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1C1C1C"/>
          <w:sz w:val="32"/>
          <w:szCs w:val="32"/>
        </w:rPr>
        <w:t>一、对有中高风险地区旅居史的来（返）川</w:t>
      </w:r>
      <w:r>
        <w:rPr>
          <w:rFonts w:hint="eastAsia" w:ascii="仿宋_GB2312" w:hAnsi="Arial" w:eastAsia="仿宋_GB2312"/>
          <w:color w:val="1C1C1C"/>
          <w:sz w:val="32"/>
          <w:szCs w:val="32"/>
        </w:rPr>
        <w:t>人员，实施集中隔离，期间每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3</w:t>
      </w:r>
      <w:r>
        <w:rPr>
          <w:rFonts w:hint="eastAsia" w:ascii="仿宋_GB2312" w:eastAsia="仿宋_GB2312"/>
          <w:color w:val="1C1C1C"/>
          <w:sz w:val="32"/>
          <w:szCs w:val="32"/>
        </w:rPr>
        <w:t>天进行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1</w:t>
      </w:r>
      <w:r>
        <w:rPr>
          <w:rFonts w:hint="eastAsia" w:ascii="仿宋_GB2312" w:eastAsia="仿宋_GB2312"/>
          <w:color w:val="1C1C1C"/>
          <w:sz w:val="32"/>
          <w:szCs w:val="32"/>
        </w:rPr>
        <w:t>次核酸检测，直至离开风险地区满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14</w:t>
      </w:r>
      <w:r>
        <w:rPr>
          <w:rFonts w:hint="eastAsia" w:ascii="仿宋_GB2312" w:eastAsia="仿宋_GB2312"/>
          <w:color w:val="1C1C1C"/>
          <w:sz w:val="32"/>
          <w:szCs w:val="32"/>
        </w:rPr>
        <w:t>天为止，解除隔离时双采双检。</w:t>
      </w:r>
    </w:p>
    <w:p>
      <w:pPr>
        <w:pStyle w:val="2"/>
        <w:kinsoku w:val="0"/>
        <w:overflowPunct w:val="0"/>
        <w:spacing w:line="580" w:lineRule="exact"/>
        <w:ind w:left="175" w:right="46" w:firstLine="658"/>
        <w:jc w:val="both"/>
        <w:rPr>
          <w:rFonts w:hint="eastAsia" w:ascii="仿宋_GB2312" w:eastAsia="仿宋_GB2312"/>
          <w:color w:val="1C1C1C"/>
          <w:sz w:val="32"/>
          <w:szCs w:val="32"/>
        </w:rPr>
      </w:pPr>
      <w:r>
        <w:rPr>
          <w:rFonts w:hint="eastAsia" w:ascii="仿宋_GB2312" w:eastAsia="仿宋_GB2312"/>
          <w:color w:val="1C1C1C"/>
          <w:sz w:val="32"/>
          <w:szCs w:val="32"/>
        </w:rPr>
        <w:t>二、对有中高风险地区所在乡镇（街道）旅居史的来（返）川人员，实施居家隔离（不满足居家隔离条件的，实施集中隔离），第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1</w:t>
      </w:r>
      <w:r>
        <w:rPr>
          <w:rFonts w:hint="eastAsia" w:ascii="仿宋_GB2312" w:eastAsia="仿宋_GB2312"/>
          <w:color w:val="1C1C1C"/>
          <w:sz w:val="32"/>
          <w:szCs w:val="32"/>
        </w:rPr>
        <w:t>、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3</w:t>
      </w:r>
      <w:r>
        <w:rPr>
          <w:rFonts w:hint="eastAsia" w:ascii="仿宋_GB2312" w:eastAsia="仿宋_GB2312"/>
          <w:color w:val="1C1C1C"/>
          <w:sz w:val="32"/>
          <w:szCs w:val="32"/>
        </w:rPr>
        <w:t>、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7</w:t>
      </w:r>
      <w:r>
        <w:rPr>
          <w:rFonts w:hint="eastAsia" w:ascii="仿宋_GB2312" w:eastAsia="仿宋_GB2312"/>
          <w:color w:val="1C1C1C"/>
          <w:sz w:val="32"/>
          <w:szCs w:val="32"/>
        </w:rPr>
        <w:t>天进行核酸检测，直至离开风险地区所在乡镇（街道）满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7</w:t>
      </w:r>
      <w:r>
        <w:rPr>
          <w:rFonts w:hint="eastAsia" w:ascii="仿宋_GB2312" w:eastAsia="仿宋_GB2312"/>
          <w:color w:val="1C1C1C"/>
          <w:sz w:val="32"/>
          <w:szCs w:val="32"/>
        </w:rPr>
        <w:t>天为止，解除隔离时双采双检。</w:t>
      </w:r>
    </w:p>
    <w:p>
      <w:pPr>
        <w:pStyle w:val="2"/>
        <w:kinsoku w:val="0"/>
        <w:overflowPunct w:val="0"/>
        <w:spacing w:line="580" w:lineRule="exact"/>
        <w:ind w:left="161" w:right="46" w:firstLine="668"/>
        <w:jc w:val="both"/>
        <w:rPr>
          <w:rFonts w:hint="eastAsia" w:ascii="仿宋_GB2312" w:eastAsia="仿宋_GB2312"/>
          <w:color w:val="1C1C1C"/>
          <w:sz w:val="32"/>
          <w:szCs w:val="32"/>
        </w:rPr>
      </w:pPr>
      <w:r>
        <w:rPr>
          <w:rFonts w:hint="eastAsia" w:ascii="仿宋_GB2312" w:eastAsia="仿宋_GB2312"/>
          <w:color w:val="1C1C1C"/>
          <w:sz w:val="32"/>
          <w:szCs w:val="32"/>
        </w:rPr>
        <w:t>三、对有中高风险地区所在县（市、区、旗）其他乡镇（街道）旅居史的来（返）川人员（不含直辖市）</w:t>
      </w:r>
      <w:r>
        <w:rPr>
          <w:rFonts w:hint="eastAsia" w:ascii="仿宋_GB2312" w:eastAsia="仿宋_GB2312"/>
          <w:color w:val="1C1C1C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1C1C1C"/>
          <w:sz w:val="32"/>
          <w:szCs w:val="32"/>
        </w:rPr>
        <w:t>实施居家健康监测，第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1</w:t>
      </w:r>
      <w:r>
        <w:rPr>
          <w:rFonts w:hint="eastAsia" w:ascii="仿宋_GB2312" w:eastAsia="仿宋_GB2312"/>
          <w:color w:val="1C1C1C"/>
          <w:sz w:val="32"/>
          <w:szCs w:val="32"/>
        </w:rPr>
        <w:t>、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3</w:t>
      </w:r>
      <w:r>
        <w:rPr>
          <w:rFonts w:hint="eastAsia" w:ascii="仿宋_GB2312" w:eastAsia="仿宋_GB2312"/>
          <w:color w:val="1C1C1C"/>
          <w:sz w:val="32"/>
          <w:szCs w:val="32"/>
        </w:rPr>
        <w:t>、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7</w:t>
      </w:r>
      <w:r>
        <w:rPr>
          <w:rFonts w:hint="eastAsia" w:ascii="仿宋_GB2312" w:eastAsia="仿宋_GB2312"/>
          <w:color w:val="1C1C1C"/>
          <w:sz w:val="32"/>
          <w:szCs w:val="32"/>
        </w:rPr>
        <w:t>天进行核酸检测</w:t>
      </w:r>
      <w:r>
        <w:rPr>
          <w:rFonts w:hint="eastAsia" w:ascii="仿宋_GB2312" w:eastAsia="仿宋_GB2312"/>
          <w:color w:val="1C1C1C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1C1C1C"/>
          <w:sz w:val="32"/>
          <w:szCs w:val="32"/>
        </w:rPr>
        <w:t>直至离开风险地区所在县（市、区、旗）满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7</w:t>
      </w:r>
      <w:r>
        <w:rPr>
          <w:rFonts w:hint="eastAsia" w:ascii="仿宋_GB2312" w:eastAsia="仿宋_GB2312"/>
          <w:color w:val="1C1C1C"/>
          <w:sz w:val="32"/>
          <w:szCs w:val="32"/>
        </w:rPr>
        <w:t>天为止。</w:t>
      </w:r>
    </w:p>
    <w:p>
      <w:pPr>
        <w:pStyle w:val="2"/>
        <w:kinsoku w:val="0"/>
        <w:overflowPunct w:val="0"/>
        <w:spacing w:line="580" w:lineRule="exact"/>
        <w:ind w:left="161" w:right="46" w:firstLine="663"/>
        <w:jc w:val="both"/>
        <w:rPr>
          <w:rFonts w:hint="eastAsia" w:ascii="仿宋_GB2312" w:eastAsia="仿宋_GB2312"/>
          <w:color w:val="1C1C1C"/>
          <w:sz w:val="32"/>
          <w:szCs w:val="32"/>
        </w:rPr>
      </w:pPr>
      <w:r>
        <w:rPr>
          <w:rFonts w:hint="eastAsia" w:ascii="仿宋_GB2312" w:eastAsia="仿宋_GB2312"/>
          <w:color w:val="1C1C1C"/>
          <w:sz w:val="32"/>
          <w:szCs w:val="32"/>
        </w:rPr>
        <w:t>四、对有中高风险地区所在地市其他县（市、区、旗）和有中高风险地区所在直辖市的县（区）其他乡镇（街道）旅居史的来（返）川人员，需提供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48</w:t>
      </w:r>
      <w:r>
        <w:rPr>
          <w:rFonts w:hint="eastAsia" w:ascii="仿宋_GB2312" w:eastAsia="仿宋_GB2312"/>
          <w:color w:val="1C1C1C"/>
          <w:sz w:val="32"/>
          <w:szCs w:val="32"/>
        </w:rPr>
        <w:t>小时内核酸阴性证明，入川后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24</w:t>
      </w:r>
      <w:r>
        <w:rPr>
          <w:rFonts w:hint="eastAsia" w:ascii="仿宋_GB2312" w:eastAsia="仿宋_GB2312"/>
          <w:color w:val="1C1C1C"/>
          <w:sz w:val="32"/>
          <w:szCs w:val="32"/>
        </w:rPr>
        <w:t>小时内再进行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1</w:t>
      </w:r>
      <w:r>
        <w:rPr>
          <w:rFonts w:hint="eastAsia" w:ascii="仿宋_GB2312" w:eastAsia="仿宋_GB2312"/>
          <w:color w:val="1C1C1C"/>
          <w:sz w:val="32"/>
          <w:szCs w:val="32"/>
        </w:rPr>
        <w:t>次核酸检测。如不能提供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48</w:t>
      </w:r>
      <w:r>
        <w:rPr>
          <w:rFonts w:hint="eastAsia" w:ascii="仿宋_GB2312" w:eastAsia="仿宋_GB2312"/>
          <w:color w:val="1C1C1C"/>
          <w:sz w:val="32"/>
          <w:szCs w:val="32"/>
        </w:rPr>
        <w:t>小时内核酸检测阴性证明的，需在入川后进行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3</w:t>
      </w:r>
      <w:r>
        <w:rPr>
          <w:rFonts w:hint="eastAsia" w:ascii="仿宋_GB2312" w:eastAsia="仿宋_GB2312"/>
          <w:color w:val="1C1C1C"/>
          <w:sz w:val="32"/>
          <w:szCs w:val="32"/>
        </w:rPr>
        <w:t>天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2</w:t>
      </w:r>
      <w:r>
        <w:rPr>
          <w:rFonts w:hint="eastAsia" w:ascii="仿宋_GB2312" w:eastAsia="仿宋_GB2312"/>
          <w:color w:val="1C1C1C"/>
          <w:sz w:val="32"/>
          <w:szCs w:val="32"/>
        </w:rPr>
        <w:t>次（问隔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24</w:t>
      </w:r>
      <w:r>
        <w:rPr>
          <w:rFonts w:hint="eastAsia" w:ascii="仿宋_GB2312" w:eastAsia="仿宋_GB2312"/>
          <w:color w:val="1C1C1C"/>
          <w:sz w:val="32"/>
          <w:szCs w:val="32"/>
        </w:rPr>
        <w:t>小时）核酸检测，核酸检测结果未出之前，不外出，不聚集。</w:t>
      </w:r>
    </w:p>
    <w:p>
      <w:pPr>
        <w:pStyle w:val="2"/>
        <w:kinsoku w:val="0"/>
        <w:overflowPunct w:val="0"/>
        <w:spacing w:line="580" w:lineRule="exact"/>
        <w:ind w:left="127" w:right="46" w:firstLine="653"/>
        <w:jc w:val="both"/>
        <w:rPr>
          <w:rFonts w:hint="eastAsia" w:ascii="仿宋_GB2312" w:eastAsia="仿宋_GB2312"/>
          <w:color w:val="1C1C1C"/>
          <w:sz w:val="32"/>
          <w:szCs w:val="32"/>
        </w:rPr>
      </w:pPr>
      <w:r>
        <w:rPr>
          <w:rFonts w:hint="eastAsia" w:ascii="仿宋_GB2312" w:eastAsia="仿宋_GB2312"/>
          <w:color w:val="1C1C1C"/>
          <w:sz w:val="32"/>
          <w:szCs w:val="32"/>
        </w:rPr>
        <w:t>五、对有本土感染者但未划定中高风险地区的县（市、区、旗）旅居史的来（返）川人员，需提供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48</w:t>
      </w:r>
      <w:r>
        <w:rPr>
          <w:rFonts w:hint="eastAsia" w:ascii="仿宋_GB2312" w:eastAsia="仿宋_GB2312"/>
          <w:color w:val="1C1C1C"/>
          <w:sz w:val="32"/>
          <w:szCs w:val="32"/>
        </w:rPr>
        <w:t>小时内核酸阴性证明，入川后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24</w:t>
      </w:r>
      <w:r>
        <w:rPr>
          <w:rFonts w:hint="eastAsia" w:ascii="仿宋_GB2312" w:eastAsia="仿宋_GB2312"/>
          <w:color w:val="1C1C1C"/>
          <w:sz w:val="32"/>
          <w:szCs w:val="32"/>
        </w:rPr>
        <w:t>小时内再进行</w:t>
      </w:r>
      <w:r>
        <w:rPr>
          <w:rFonts w:hint="eastAsia" w:ascii="仿宋_GB2312" w:hAnsi="Arial" w:eastAsia="仿宋_GB2312" w:cs="Arial"/>
          <w:color w:val="1C1C1C"/>
          <w:sz w:val="32"/>
          <w:szCs w:val="32"/>
        </w:rPr>
        <w:t>1</w:t>
      </w:r>
      <w:r>
        <w:rPr>
          <w:rFonts w:hint="eastAsia" w:ascii="仿宋_GB2312" w:hAnsi="Arial" w:eastAsia="仿宋_GB2312"/>
          <w:color w:val="1C1C1C"/>
          <w:sz w:val="32"/>
          <w:szCs w:val="32"/>
        </w:rPr>
        <w:t>次核酸检测。如不能提供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48</w:t>
      </w:r>
      <w:r>
        <w:rPr>
          <w:rFonts w:hint="eastAsia" w:ascii="仿宋_GB2312" w:eastAsia="仿宋_GB2312"/>
          <w:color w:val="1C1C1C"/>
          <w:sz w:val="32"/>
          <w:szCs w:val="32"/>
        </w:rPr>
        <w:t>小时内核酸检测阴性证明的，需在入川后进行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3</w:t>
      </w:r>
      <w:r>
        <w:rPr>
          <w:rFonts w:hint="eastAsia" w:ascii="仿宋_GB2312" w:eastAsia="仿宋_GB2312"/>
          <w:color w:val="1C1C1C"/>
          <w:sz w:val="32"/>
          <w:szCs w:val="32"/>
        </w:rPr>
        <w:t>天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2</w:t>
      </w:r>
      <w:r>
        <w:rPr>
          <w:rFonts w:hint="eastAsia" w:ascii="仿宋_GB2312" w:eastAsia="仿宋_GB2312"/>
          <w:color w:val="1C1C1C"/>
          <w:sz w:val="32"/>
          <w:szCs w:val="32"/>
        </w:rPr>
        <w:t>次（问隔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24</w:t>
      </w:r>
      <w:r>
        <w:rPr>
          <w:rFonts w:hint="eastAsia" w:ascii="仿宋_GB2312" w:eastAsia="仿宋_GB2312"/>
          <w:color w:val="1C1C1C"/>
          <w:sz w:val="32"/>
          <w:szCs w:val="32"/>
        </w:rPr>
        <w:t>小时）核酸检测。当地划定中高风险地区后，则纳入相应规范管理。</w:t>
      </w:r>
    </w:p>
    <w:p>
      <w:pPr>
        <w:pStyle w:val="2"/>
        <w:kinsoku w:val="0"/>
        <w:overflowPunct w:val="0"/>
        <w:spacing w:line="580" w:lineRule="exact"/>
        <w:ind w:left="122" w:right="46" w:firstLine="644"/>
        <w:jc w:val="both"/>
        <w:rPr>
          <w:rFonts w:hint="eastAsia" w:ascii="仿宋_GB2312" w:eastAsia="仿宋_GB2312"/>
          <w:color w:val="1C1C1C"/>
          <w:sz w:val="32"/>
          <w:szCs w:val="32"/>
        </w:rPr>
      </w:pPr>
      <w:r>
        <w:rPr>
          <w:rFonts w:hint="eastAsia" w:ascii="仿宋_GB2312" w:eastAsia="仿宋_GB2312"/>
          <w:color w:val="1C1C1C"/>
          <w:sz w:val="32"/>
          <w:szCs w:val="32"/>
        </w:rPr>
        <w:t>六、上述来（返）</w:t>
      </w:r>
      <w:r>
        <w:rPr>
          <w:rFonts w:hint="eastAsia" w:ascii="仿宋_GB2312" w:eastAsia="仿宋_GB2312"/>
          <w:color w:val="1C1C1C"/>
          <w:sz w:val="32"/>
          <w:szCs w:val="32"/>
          <w:lang w:val="en-US" w:eastAsia="zh-CN"/>
        </w:rPr>
        <w:t>川</w:t>
      </w:r>
      <w:r>
        <w:rPr>
          <w:rFonts w:hint="eastAsia" w:ascii="仿宋_GB2312" w:eastAsia="仿宋_GB2312"/>
          <w:color w:val="1C1C1C"/>
          <w:sz w:val="32"/>
          <w:szCs w:val="32"/>
        </w:rPr>
        <w:t>人员管理措施自即日起施行。各地要对正在执行居家或集中隔离措施的人员进行梳理。按照上述要求不需继续执行居家或集中隔离措施的人员，如已在隔离期间完成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3</w:t>
      </w:r>
      <w:r>
        <w:rPr>
          <w:rFonts w:hint="eastAsia" w:ascii="仿宋_GB2312" w:eastAsia="仿宋_GB2312"/>
          <w:color w:val="1C1C1C"/>
          <w:sz w:val="32"/>
          <w:szCs w:val="32"/>
        </w:rPr>
        <w:t>次核酸检测且有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24</w:t>
      </w:r>
      <w:r>
        <w:rPr>
          <w:rFonts w:hint="eastAsia" w:ascii="仿宋_GB2312" w:eastAsia="仿宋_GB2312"/>
          <w:color w:val="1C1C1C"/>
          <w:sz w:val="32"/>
          <w:szCs w:val="32"/>
        </w:rPr>
        <w:t>小时内核酸检测阴性证明的，立即解除隔离；如已在隔离期间完成</w:t>
      </w:r>
      <w:r>
        <w:rPr>
          <w:rFonts w:hint="eastAsia" w:ascii="仿宋_GB2312" w:hAnsi="Arial" w:eastAsia="仿宋_GB2312" w:cs="Arial"/>
          <w:color w:val="1C1C1C"/>
          <w:sz w:val="32"/>
          <w:szCs w:val="32"/>
        </w:rPr>
        <w:t>3</w:t>
      </w:r>
      <w:r>
        <w:rPr>
          <w:rFonts w:hint="eastAsia" w:ascii="仿宋_GB2312" w:hAnsi="Arial" w:eastAsia="仿宋_GB2312"/>
          <w:color w:val="1C1C1C"/>
          <w:sz w:val="32"/>
          <w:szCs w:val="32"/>
        </w:rPr>
        <w:t>次核酸检测但无</w:t>
      </w:r>
      <w:r>
        <w:rPr>
          <w:rFonts w:hint="eastAsia" w:ascii="仿宋_GB2312" w:hAnsi="Arial" w:eastAsia="仿宋_GB2312" w:cs="Arial"/>
          <w:color w:val="1C1C1C"/>
          <w:sz w:val="32"/>
          <w:szCs w:val="32"/>
        </w:rPr>
        <w:t>24</w:t>
      </w:r>
      <w:r>
        <w:rPr>
          <w:rFonts w:hint="eastAsia" w:ascii="仿宋_GB2312" w:hAnsi="Arial" w:eastAsia="仿宋_GB2312"/>
          <w:color w:val="1C1C1C"/>
          <w:sz w:val="32"/>
          <w:szCs w:val="32"/>
        </w:rPr>
        <w:t>小时内核酸检测阴性</w:t>
      </w:r>
      <w:r>
        <w:rPr>
          <w:rFonts w:hint="eastAsia" w:ascii="仿宋_GB2312" w:eastAsia="仿宋_GB2312"/>
          <w:color w:val="1C1C1C"/>
          <w:sz w:val="32"/>
          <w:szCs w:val="32"/>
        </w:rPr>
        <w:t>证明的，以及在隔离期间未完成</w:t>
      </w:r>
      <w:r>
        <w:rPr>
          <w:rFonts w:hint="eastAsia" w:ascii="仿宋_GB2312" w:eastAsia="仿宋_GB2312" w:cs="Times New Roman"/>
          <w:color w:val="1C1C1C"/>
          <w:sz w:val="32"/>
          <w:szCs w:val="32"/>
        </w:rPr>
        <w:t>3</w:t>
      </w:r>
      <w:r>
        <w:rPr>
          <w:rFonts w:hint="eastAsia" w:ascii="仿宋_GB2312" w:eastAsia="仿宋_GB2312"/>
          <w:color w:val="1C1C1C"/>
          <w:sz w:val="32"/>
          <w:szCs w:val="32"/>
        </w:rPr>
        <w:t>次核酸检测的，立即进行一次核酸检测，结果为阴性的，立即解除隔离。</w:t>
      </w:r>
    </w:p>
    <w:p>
      <w:pPr>
        <w:pStyle w:val="2"/>
        <w:kinsoku w:val="0"/>
        <w:overflowPunct w:val="0"/>
        <w:spacing w:line="580" w:lineRule="exact"/>
        <w:ind w:right="66" w:firstLine="659"/>
        <w:jc w:val="both"/>
        <w:rPr>
          <w:rFonts w:hint="eastAsia" w:ascii="仿宋_GB2312" w:hAnsi="Arial" w:eastAsia="仿宋_GB2312"/>
          <w:color w:val="1C1C1C"/>
          <w:sz w:val="32"/>
          <w:szCs w:val="32"/>
        </w:rPr>
      </w:pPr>
      <w:r>
        <w:rPr>
          <w:rFonts w:hint="eastAsia" w:ascii="仿宋_GB2312" w:eastAsia="仿宋_GB2312"/>
          <w:color w:val="1C1C1C"/>
          <w:sz w:val="32"/>
          <w:szCs w:val="32"/>
        </w:rPr>
        <w:t>来（返）川人员要主动参与疫情防控工作，积极履行防控义务，做好个人防护，配合落实疫情防控措施。在居家隔离期</w:t>
      </w:r>
      <w:bookmarkStart w:id="0" w:name="_GoBack"/>
      <w:bookmarkEnd w:id="0"/>
      <w:r>
        <w:rPr>
          <w:rFonts w:hint="eastAsia" w:ascii="仿宋_GB2312" w:eastAsia="仿宋_GB2312"/>
          <w:color w:val="1C1C1C"/>
          <w:sz w:val="32"/>
          <w:szCs w:val="32"/>
        </w:rPr>
        <w:t>间，应单独居住或单间居住，使用单独卫生间，足不出户，拒绝一切探访，由所在村（社区）安排专人督促其每日自行测量</w:t>
      </w:r>
      <w:r>
        <w:rPr>
          <w:rFonts w:hint="eastAsia" w:ascii="仿宋_GB2312" w:hAnsi="Arial" w:eastAsia="仿宋_GB2312" w:cs="Arial"/>
          <w:color w:val="1C1C1C"/>
          <w:sz w:val="32"/>
          <w:szCs w:val="32"/>
        </w:rPr>
        <w:t>2</w:t>
      </w:r>
      <w:r>
        <w:rPr>
          <w:rFonts w:hint="eastAsia" w:ascii="仿宋_GB2312" w:hAnsi="Arial" w:eastAsia="仿宋_GB2312"/>
          <w:color w:val="1C1C1C"/>
          <w:sz w:val="32"/>
          <w:szCs w:val="32"/>
        </w:rPr>
        <w:t>次体温，如果出现发热、干咳、乏力、嗅（味）觉减退、鼻塞、流涕、咽痛、结膜炎、肌痛和腹泻等症状，第一时间主动向村（社区）报告，及时闭环转运到医院就诊。在居家健康监测期间，非必要不外出，外出时做好个人防护，不上班，不进入宗教场所、宾馆酒店、博物馆、歌舞游艺休闲娱乐场所、棋牌室（麻将馆）、旅游景区景点、互联网上网服务营业场所、交通场站、商超、农贸市场、村委会（社区居委会）、村活动室（社区活动室）、党群服务中心、药店、企事业单位等公共场所，不得乘坐飞机、火车、客运班车、地铁等公共交通工具，避免参加聚集性活动，由所在村</w:t>
      </w:r>
      <w:r>
        <w:rPr>
          <w:rFonts w:hint="eastAsia" w:ascii="仿宋_GB2312" w:eastAsia="仿宋_GB2312"/>
          <w:color w:val="1C1C1C"/>
          <w:sz w:val="32"/>
          <w:szCs w:val="32"/>
        </w:rPr>
        <w:t>（社区）安排专人督促其每日自行测量</w:t>
      </w:r>
      <w:r>
        <w:rPr>
          <w:rFonts w:hint="eastAsia" w:ascii="仿宋_GB2312" w:hAnsi="Arial" w:eastAsia="仿宋_GB2312" w:cs="Arial"/>
          <w:color w:val="1C1C1C"/>
          <w:sz w:val="32"/>
          <w:szCs w:val="32"/>
        </w:rPr>
        <w:t>2</w:t>
      </w:r>
      <w:r>
        <w:rPr>
          <w:rFonts w:hint="eastAsia" w:ascii="仿宋_GB2312" w:hAnsi="Arial" w:eastAsia="仿宋_GB2312"/>
          <w:color w:val="1C1C1C"/>
          <w:sz w:val="32"/>
          <w:szCs w:val="32"/>
        </w:rPr>
        <w:t>次体温，如果出现发热、干咳、乏力、嗅（味）觉减退、鼻塞、流涕、咽痛、结膜炎、肌痛和腹泻等症状，第一时间主动向村（社区）报告，做好个人防护，及时到医院就诊。</w:t>
      </w:r>
    </w:p>
    <w:p>
      <w:pPr>
        <w:pStyle w:val="2"/>
        <w:kinsoku w:val="0"/>
        <w:overflowPunct w:val="0"/>
        <w:spacing w:line="580" w:lineRule="exact"/>
        <w:ind w:right="24" w:rightChars="0"/>
        <w:jc w:val="both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color w:val="1C1C1C"/>
          <w:sz w:val="32"/>
          <w:szCs w:val="32"/>
        </w:rPr>
        <w:t>此前发布的来（返）川人员管理措施与本文件冲突的，以本文件为准。</w:t>
      </w:r>
    </w:p>
    <w:sectPr>
      <w:footerReference r:id="rId3" w:type="default"/>
      <w:pgSz w:w="11906" w:h="16838"/>
      <w:pgMar w:top="2098" w:right="1474" w:bottom="1985" w:left="1588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5206365</wp:posOffset>
              </wp:positionH>
              <wp:positionV relativeFrom="paragraph">
                <wp:posOffset>-119380</wp:posOffset>
              </wp:positionV>
              <wp:extent cx="409575" cy="2806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9.95pt;margin-top:-9.4pt;height:22.1pt;width:32.25pt;mso-position-horizontal-relative:margin;z-index:251658240;mso-width-relative:page;mso-height-relative:page;" filled="f" stroked="f" coordsize="21600,21600" o:gfxdata="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H50yKDZAAAA&#10;CgEAAA8AAAAAAAAAAQAgAAAAIgAAAGRycy9kb3ducmV2LnhtbFBLAQIUABQAAAAIAIdO4kDwLk7p&#10;xwIAANYFAAAOAAAAAAAAAAEAIAAAACg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77"/>
    <w:rsid w:val="00221ADC"/>
    <w:rsid w:val="00B17B77"/>
    <w:rsid w:val="00D76F98"/>
    <w:rsid w:val="00E8747C"/>
    <w:rsid w:val="0EB41A85"/>
    <w:rsid w:val="6F42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autoSpaceDE w:val="0"/>
      <w:autoSpaceDN w:val="0"/>
      <w:adjustRightInd w:val="0"/>
      <w:ind w:left="110" w:firstLine="645"/>
      <w:jc w:val="left"/>
    </w:pPr>
    <w:rPr>
      <w:rFonts w:ascii="宋体" w:hAnsi="Times New Roman" w:eastAsia="宋体" w:cs="宋体"/>
      <w:kern w:val="0"/>
      <w:sz w:val="33"/>
      <w:szCs w:val="33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正文文本 字符"/>
    <w:basedOn w:val="6"/>
    <w:link w:val="2"/>
    <w:uiPriority w:val="1"/>
    <w:rPr>
      <w:rFonts w:ascii="宋体" w:hAnsi="Times New Roman" w:eastAsia="宋体" w:cs="宋体"/>
      <w:kern w:val="0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1467</Characters>
  <Lines>12</Lines>
  <Paragraphs>3</Paragraphs>
  <TotalTime>9</TotalTime>
  <ScaleCrop>false</ScaleCrop>
  <LinksUpToDate>false</LinksUpToDate>
  <CharactersWithSpaces>1721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2022-02-10T02:03:00Z</dcterms:created>
  <dc:creator>Administrator</dc:creator>
  <cp:lastModifiedBy>aaa</cp:lastModifiedBy>
  <dcterms:modified xsi:type="dcterms:W3CDTF">2022-02-10T02:25:59Z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